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A7DE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38d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A7DEC">
              <w:rPr>
                <w:rFonts w:asciiTheme="minorHAnsi" w:hAnsiTheme="minorHAnsi"/>
                <w:b/>
                <w:i/>
                <w:sz w:val="22"/>
                <w:szCs w:val="22"/>
              </w:rPr>
              <w:t>Objekt K3 – Bývalý 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projektové dokumentaci je uvažováno ve všech objektech s prováděním keramických obkladů za kuchyňskými linkami.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rámci kontrolních dnů bylo pracovníky státní památkové péče doporučeno i s ohledem na omezení míry zásahů do zdiva při vedení rozvodů ZI a též s ohledem na nerovnosti původního historického zdiva provádět kuchyňské linky jako konstrukci s pevnou zadní stěnou a vedením rozvodů v dutině mezi zdí a zadní stěnou kuchyňské linky. S ohledem na tuto skutečnost není nutná realizace obkladu. Kuchyňské linky nejsou součástí dodávky stavby. 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C51DD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Jiná konstrukce kuchyňské linky, než byla předpokládána v PD.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C51DD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1A7DE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8C51D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1A7DEC">
              <w:rPr>
                <w:rFonts w:asciiTheme="minorHAnsi" w:hAnsiTheme="minorHAnsi"/>
                <w:b/>
                <w:sz w:val="22"/>
                <w:szCs w:val="22"/>
              </w:rPr>
              <w:t>21.050,91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474" w:rsidRDefault="00193474" w:rsidP="004131CC">
      <w:r>
        <w:separator/>
      </w:r>
    </w:p>
  </w:endnote>
  <w:endnote w:type="continuationSeparator" w:id="0">
    <w:p w:rsidR="00193474" w:rsidRDefault="0019347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474" w:rsidRDefault="00193474" w:rsidP="004131CC">
      <w:r>
        <w:separator/>
      </w:r>
    </w:p>
  </w:footnote>
  <w:footnote w:type="continuationSeparator" w:id="0">
    <w:p w:rsidR="00193474" w:rsidRDefault="0019347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3F10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B7AEB"/>
    <w:rsid w:val="00CD11A3"/>
    <w:rsid w:val="00CF4FB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14</cp:revision>
  <cp:lastPrinted>2015-07-17T07:51:00Z</cp:lastPrinted>
  <dcterms:created xsi:type="dcterms:W3CDTF">2015-06-08T04:19:00Z</dcterms:created>
  <dcterms:modified xsi:type="dcterms:W3CDTF">2015-07-17T08:13:00Z</dcterms:modified>
</cp:coreProperties>
</file>